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2F1D6B">
        <w:rPr>
          <w:rFonts w:ascii="Times New Roman" w:hAnsi="Times New Roman" w:cs="Times New Roman"/>
          <w:b/>
          <w:sz w:val="28"/>
          <w:szCs w:val="28"/>
        </w:rPr>
        <w:t>9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A5187B" w:rsidRPr="00582DD9" w:rsidRDefault="005E11E1" w:rsidP="00A518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is responsible for project communication? What kind of information should they communicate about the project?</w:t>
      </w:r>
      <w:r w:rsidR="00A5187B">
        <w:rPr>
          <w:rFonts w:ascii="Times New Roman" w:hAnsi="Times New Roman" w:cs="Times New Roman"/>
          <w:b/>
          <w:sz w:val="24"/>
          <w:szCs w:val="24"/>
        </w:rPr>
        <w:t xml:space="preserve"> (pl</w:t>
      </w:r>
      <w:r w:rsidR="00A5187B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703185" w:rsidP="00582D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2F1D6B">
        <w:rPr>
          <w:rFonts w:ascii="Times New Roman" w:hAnsi="Times New Roman" w:cs="Times New Roman"/>
          <w:b/>
          <w:sz w:val="28"/>
          <w:szCs w:val="28"/>
        </w:rPr>
        <w:t>9</w:t>
      </w:r>
      <w:r w:rsidR="00582DD9" w:rsidRPr="008B119F">
        <w:rPr>
          <w:rFonts w:ascii="Times New Roman" w:hAnsi="Times New Roman" w:cs="Times New Roman"/>
          <w:b/>
          <w:sz w:val="28"/>
          <w:szCs w:val="28"/>
        </w:rPr>
        <w:t>.</w:t>
      </w:r>
      <w:r w:rsidR="00582DD9">
        <w:rPr>
          <w:rFonts w:ascii="Times New Roman" w:hAnsi="Times New Roman" w:cs="Times New Roman"/>
          <w:b/>
          <w:sz w:val="28"/>
          <w:szCs w:val="28"/>
        </w:rPr>
        <w:t>2</w:t>
      </w:r>
      <w:r w:rsidR="00582DD9"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A5187B" w:rsidRPr="00582DD9" w:rsidRDefault="005E11E1" w:rsidP="00A518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Explain the </w:t>
      </w:r>
      <w:r>
        <w:rPr>
          <w:rFonts w:ascii="Times New Roman" w:hAnsi="Times New Roman" w:cs="Times New Roman"/>
          <w:b/>
          <w:sz w:val="24"/>
          <w:szCs w:val="24"/>
        </w:rPr>
        <w:t xml:space="preserve">difference between synchronous and asynchronous communication. </w:t>
      </w:r>
      <w:r w:rsidR="00A5187B">
        <w:rPr>
          <w:rFonts w:ascii="Times New Roman" w:hAnsi="Times New Roman" w:cs="Times New Roman"/>
          <w:b/>
          <w:sz w:val="24"/>
          <w:szCs w:val="24"/>
        </w:rPr>
        <w:t>(pl</w:t>
      </w:r>
      <w:r w:rsidR="00A5187B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709D9" w:rsidRDefault="006709D9" w:rsidP="006709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2F1D6B">
        <w:rPr>
          <w:rFonts w:ascii="Times New Roman" w:hAnsi="Times New Roman" w:cs="Times New Roman"/>
          <w:b/>
          <w:sz w:val="28"/>
          <w:szCs w:val="28"/>
        </w:rPr>
        <w:t>9</w:t>
      </w:r>
      <w:r w:rsidR="00AC5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E11E1" w:rsidRPr="00582DD9" w:rsidRDefault="005E11E1" w:rsidP="005E1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at least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b/>
          <w:sz w:val="24"/>
          <w:szCs w:val="24"/>
        </w:rPr>
        <w:t xml:space="preserve"> different </w:t>
      </w:r>
      <w:r>
        <w:rPr>
          <w:rFonts w:ascii="Times New Roman" w:hAnsi="Times New Roman" w:cs="Times New Roman"/>
          <w:b/>
          <w:sz w:val="24"/>
          <w:szCs w:val="24"/>
        </w:rPr>
        <w:t>risk categories</w:t>
      </w:r>
      <w:r>
        <w:rPr>
          <w:rFonts w:ascii="Times New Roman" w:hAnsi="Times New Roman" w:cs="Times New Roman"/>
          <w:b/>
          <w:sz w:val="24"/>
          <w:szCs w:val="24"/>
        </w:rPr>
        <w:t>.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6709D9" w:rsidRDefault="006709D9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AC54D7" w:rsidRDefault="00AC54D7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AC54D7" w:rsidRPr="008B119F" w:rsidRDefault="00AC54D7" w:rsidP="00AC54D7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2F1D6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.4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187E7C" w:rsidRPr="00582DD9" w:rsidRDefault="00187E7C" w:rsidP="00187E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at least three different </w:t>
      </w:r>
      <w:r w:rsidR="005E11E1">
        <w:rPr>
          <w:rFonts w:ascii="Times New Roman" w:hAnsi="Times New Roman" w:cs="Times New Roman"/>
          <w:b/>
          <w:sz w:val="24"/>
          <w:szCs w:val="24"/>
        </w:rPr>
        <w:t>risk mitigation plans</w:t>
      </w:r>
      <w:r>
        <w:rPr>
          <w:rFonts w:ascii="Times New Roman" w:hAnsi="Times New Roman" w:cs="Times New Roman"/>
          <w:b/>
          <w:sz w:val="24"/>
          <w:szCs w:val="24"/>
        </w:rPr>
        <w:t>.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AC54D7" w:rsidRDefault="00AC54D7" w:rsidP="00AC54D7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E11E1" w:rsidRDefault="005E11E1" w:rsidP="00AC54D7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E11E1" w:rsidRPr="008B119F" w:rsidRDefault="005E11E1" w:rsidP="005E11E1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E11E1" w:rsidRPr="00582DD9" w:rsidRDefault="005E11E1" w:rsidP="005E1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>
        <w:rPr>
          <w:rFonts w:ascii="Times New Roman" w:hAnsi="Times New Roman" w:cs="Times New Roman"/>
          <w:b/>
          <w:sz w:val="24"/>
          <w:szCs w:val="24"/>
        </w:rPr>
        <w:t>the difference between qualitative and quantitative risk evaluation techniques</w:t>
      </w:r>
      <w:r>
        <w:rPr>
          <w:rFonts w:ascii="Times New Roman" w:hAnsi="Times New Roman" w:cs="Times New Roman"/>
          <w:b/>
          <w:sz w:val="24"/>
          <w:szCs w:val="24"/>
        </w:rPr>
        <w:t>.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E11E1" w:rsidRDefault="005E11E1" w:rsidP="005E11E1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  <w:bookmarkStart w:id="0" w:name="_GoBack"/>
      <w:bookmarkEnd w:id="0"/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sectPr w:rsidR="006709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54" w:rsidRDefault="002C0D54" w:rsidP="0011137E">
      <w:pPr>
        <w:spacing w:after="0" w:line="240" w:lineRule="auto"/>
      </w:pPr>
      <w:r>
        <w:separator/>
      </w:r>
    </w:p>
  </w:endnote>
  <w:endnote w:type="continuationSeparator" w:id="0">
    <w:p w:rsidR="002C0D54" w:rsidRDefault="002C0D54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54" w:rsidRDefault="002C0D54" w:rsidP="0011137E">
      <w:pPr>
        <w:spacing w:after="0" w:line="240" w:lineRule="auto"/>
      </w:pPr>
      <w:r>
        <w:separator/>
      </w:r>
    </w:p>
  </w:footnote>
  <w:footnote w:type="continuationSeparator" w:id="0">
    <w:p w:rsidR="002C0D54" w:rsidRDefault="002C0D54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2F1D6B">
      <w:rPr>
        <w:b/>
        <w:sz w:val="32"/>
        <w:szCs w:val="32"/>
      </w:rPr>
      <w:t>9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8320D"/>
    <w:rsid w:val="00187E7C"/>
    <w:rsid w:val="001F40A0"/>
    <w:rsid w:val="0022133B"/>
    <w:rsid w:val="00233126"/>
    <w:rsid w:val="002563F1"/>
    <w:rsid w:val="002810C3"/>
    <w:rsid w:val="00281CA9"/>
    <w:rsid w:val="002B65BF"/>
    <w:rsid w:val="002C0969"/>
    <w:rsid w:val="002C0D54"/>
    <w:rsid w:val="002E7031"/>
    <w:rsid w:val="002F1D6B"/>
    <w:rsid w:val="003072A1"/>
    <w:rsid w:val="003C438E"/>
    <w:rsid w:val="00432B50"/>
    <w:rsid w:val="00474311"/>
    <w:rsid w:val="00550B6F"/>
    <w:rsid w:val="00582DD9"/>
    <w:rsid w:val="005D2CEA"/>
    <w:rsid w:val="005E0A50"/>
    <w:rsid w:val="005E11E1"/>
    <w:rsid w:val="006177D1"/>
    <w:rsid w:val="006709D9"/>
    <w:rsid w:val="006D7937"/>
    <w:rsid w:val="00703185"/>
    <w:rsid w:val="00784993"/>
    <w:rsid w:val="007B3140"/>
    <w:rsid w:val="00846297"/>
    <w:rsid w:val="008B119F"/>
    <w:rsid w:val="008C1B49"/>
    <w:rsid w:val="008C1C48"/>
    <w:rsid w:val="009400E4"/>
    <w:rsid w:val="009B3520"/>
    <w:rsid w:val="00A13D85"/>
    <w:rsid w:val="00A33A8D"/>
    <w:rsid w:val="00A5187B"/>
    <w:rsid w:val="00AA41FB"/>
    <w:rsid w:val="00AB6C22"/>
    <w:rsid w:val="00AC54D7"/>
    <w:rsid w:val="00B50961"/>
    <w:rsid w:val="00BA4C66"/>
    <w:rsid w:val="00BB3715"/>
    <w:rsid w:val="00BB6DCA"/>
    <w:rsid w:val="00C07EF0"/>
    <w:rsid w:val="00C43EB0"/>
    <w:rsid w:val="00C73E0E"/>
    <w:rsid w:val="00CA3060"/>
    <w:rsid w:val="00CF39E9"/>
    <w:rsid w:val="00D2425E"/>
    <w:rsid w:val="00D90255"/>
    <w:rsid w:val="00DA239C"/>
    <w:rsid w:val="00DB3A57"/>
    <w:rsid w:val="00DF1871"/>
    <w:rsid w:val="00E5081C"/>
    <w:rsid w:val="00EA4ADA"/>
    <w:rsid w:val="00EC66BD"/>
    <w:rsid w:val="00EC6FE9"/>
    <w:rsid w:val="00ED1D4C"/>
    <w:rsid w:val="00F252AA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A897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17</cp:revision>
  <dcterms:created xsi:type="dcterms:W3CDTF">2016-07-27T21:17:00Z</dcterms:created>
  <dcterms:modified xsi:type="dcterms:W3CDTF">2016-07-29T17:05:00Z</dcterms:modified>
</cp:coreProperties>
</file>